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475</w:t>
      </w:r>
    </w:p>
    <w:p>
      <w:r>
        <w:t>Bundesgericht (BGE), 1998-06-19, FR</w:t>
      </w:r>
    </w:p>
    <w:p>
      <w:r>
        <w:rPr>
          <w:b/>
        </w:rPr>
        <w:t xml:space="preserve">Quelle: </w:t>
      </w:r>
      <w:r>
        <w:t>https://mcp.opencaselaw.ch/entscheid/bge_124 II 475</w:t>
      </w:r>
    </w:p>
    <w:p>
      <w:r>
        <w:t>FR: ATF 124 II 475</w:t>
      </w:r>
    </w:p>
    <w:p>
      <w:r>
        <w:t>IT: DTF 124 II 475</w:t>
      </w:r>
    </w:p>
    <w:p>
      <w:pPr>
        <w:pStyle w:val="Heading2"/>
      </w:pPr>
      <w:r>
        <w:t>Regeste</w:t>
      </w:r>
    </w:p>
    <w:p>
      <w:r>
        <w:t>Regeste Art. 16 Abs. 2 und 3 lit. a SVG; Art. 4a Abs. 1 VRV. Überschreitung der Höchstgeschwindigkeit. Grenzwerte für den Entzug des Führerausweises (E. 2; Zusammenfassung der Rechtsprechung).</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et 34 al. 1 let. a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comme c'est le cas en l'espèce,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a) Les conditions d'un retrait du permis de conduire en cas d'excès de vitesse ont été examinées dans les ATF 124 II 97 et ATF 123 II 106 , auxquels il convient de se référer. 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fait la distinction BGE 124 II 475 S. 477 entre le cas de peu de gravité ( art. 16 al. 2 2 ème phrase LCR), le cas de gravité moyenne ( art. 16 al. 2 1 ère phrase LCR) et le cas grave ( art. 16 al. 3 let. a LCR ; cf. ATF 123 II 106 consid. 2a p. 109). Si la violation des règles de la circulation n'a pas "compromis la sécurité de la route ou incommodé le public", l'autorité n'ordonnera aucune mesure. S'il s'agit seulement d'un cas de peu de gravité, elle donnera un avertissement. Pour dire si le cas peut être considéré comme de peu de gravité, il faut prendre en considération la gravité de la faute, le danger créé et la réputation du conducteur en tant qu'automobiliste ( ATF 124 II 97 consid. 1 p. 98; ATF 123 II 106 consid. 2b p. 111). Si le cas est de gravité moyenne, l'autorité doit faire usage de la faculté (ouverte par l' art. 16 al. 2 LCR ) de retirer le permis de conduire. Dans les cas graves, qui supposent une violation grossière d'une règle essentielle de la circulation entraînant un danger concret ou un danger abstrait accru, le retrait du permis de conduire est obligatoire en application de l' art. 16 al. 3 let. a LCR ( ATF 123 II 106 consid. 2a p. 109). Pour assurer l'égalité de traitement, la jurisprudence a été amenée à fixer des règles précises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 ATF 123 II 106 consid. 2c p. 111). Le retrait facultatif doit être ordonné si le dépassement de vitesse est compris entre 30 et 35 km/h ( ATF 124 II 97 consid. 2b p. 99; ATF 123 II 106 consid. 2c p. 113). Le retrait est obligatoire ( art. 16 al. 3 let. a LCR ) lorsque le dépassement de vitesse atteint 35 km/h ( ATF 124 II 97 consid. 2b p. 99;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 ATF 124 II 97 consid. 2b p. 99; ATF 123 II 37 consid. 1e p. 41). Une moindre sévérité peut être justifiée par des circonstances exceptionnelles, telles que celles susceptibles d'entraîner une application analogique de l' art. 66bis CP ( ATF 118 Ib 229 consid. 3 p. 233) ou une erreur compréhensible sur la vitesse autorisée ( ATF 124 II 98 consid. 2b p. 100). Sur les autres routes, le retrait facultatif sera prononcé si le dépassement de vitesse est compris entre 25 et 30 km/h ( ATF 124 II 259 consid. 2c); le retrait est obligatoire en application de l' art. 16 al. 3 let. a LCR dès que le BGE 124 II 475 S. 478 dépassement atteint 30 km/h ( ATF 124 II 97 consid. 2b p. 99, 259; ATF 123 II 106 consid. 2c p. 112 s.). A l'intérieur des localités, le retrait facultatif doit en principe être prononcé si le dépassement de vitesse est compris entre 20 et 25 km/h ( ATF 124 II 97 consid. 2b p. 100 s.), tandis que le retrait est obligatoire dès que le dépassement atteint 25 km/h ( ATF 124 II 97 consid. 2b p. 99 s.; ATF 123 II 106 consid. 2c p. 112 s.). La durée du retrait de permis est fixée conformément à l' art. 33 al. 2 OAC , mais elle est d'un mois au minimum ( art. 17 al. 1 let. a LCR ). b) En l'espèce, le Tribunal administratif cantonal a constaté que l'intimé avait dépassé de 36 km/h la vitesse maximale de 120 km/h autorisée sur les autoroutes ( art. 4a al. 1 let . d OCR [RS 741.11]). En application des principes qui viennent d'être rappelés, on se trouve en présence d'un cas de retrait obligatoire au sens de l' art. 16 al. 3 let. a LCR (cf. ATF 124 II 97 consid. 2b p. 99; ATF 123 II 106 consid. 2c p. 112 s.). En prononçant un simple avertissement, l'autorité cantonale a violé le droit fédéral et le recours doit être admis. Dans la mesure où l'intimé conteste l'importance du dépassement de vitesse, il ne peut pas être suivi. En effet, la détermination de sa vitesse relève de l'établissement des faits et on ne voit pas que la constatation de l'autorité judiciaire cantonale soit manifestement inexacte, incomplète ou résulte d'un mépris des règles essentielles de la procédure ( art. 105 al. 2 OJ ). Il est également sans pertinence que les conditions de la circulation aient été favorables et que la réputation de l'intimé en tant qu'automobiliste ait été excellente, puisque les limites fixées par la jurisprudence ont précisément été déterminées en partant de cette hypothèse. Il est tout autant sans importance que l'intimé n'ait dépassé que de peu le seuil des 35 km/h fixé pour le cas grave sur les autoroutes. Si l'on devait instaurer une marge de tolérance, cela reviendrait en réalité à repousser la limite et à poser à nouveau la question d'une marge de tolérance pour la nouvelle limite ainsi fixée. Au demeurant, il résulte de la jurisprudence citée que le permis de conduire de l'intimé aurait dû de toute manière être retiré, mais sur la base de l' art. 16 al. 2 LCR , si le dépassement de vitesse avait été un peu inférieur à 35 km/h. L'opinion divergente du juge pénal - qui a appliqué l' art. 90 ch. 1 LCR plutôt que l' art. 90 ch. 2 LCR - ne peut obliger l'autorité administrative, en présence, comme en l'espèce, d'une situation claire, à violer les dispositions relevant de sa compétence. Quant aux circonstances personnelles invoquées par l'intimé, elles ne pourraient influencer que la durée du retrait de permis, mais elles BGE 124 II 475 S. 479 perdent toute pertinence, dès lors que la durée requise par l'office recourant correspond au minimum légal (cf. art. 17 al. 1 let. a LCR ). L'intimé fait en particulier valoir que son fils est handicapé; il ne prétend cependant pas qu'il ne disposerait d'aucune solution de rechange et, en particulier, qu'il ne pourrait assumer la charge financière de déplacements en taxi pendant un mois; les renseignements qu'il fournit sur son activité professionnelle donnent au contraire à penser qu'il vit de manière aisée. On ne peut donc pas conclure que l'application de la loi serait d'une dureté inhumaine. Comme l'intimé a dépassé la vitesse maximum autorisée sur l'autoroute de 36 km/h, le permis de conduire doit lui être retiré en application de l' art. 16 al. 3 let. a LCR . c) Lorsque le Tribunal fédéral, saisi d'un recours de droit administratif, annule la décision attaquée, il peut soit statuer lui-même sur le fond, soit renvoyer l'affaire pour nouvelle décision à l'autorité inférieure, voire à l'autorité qui a statué en première instance ( art. 114 al. 2 OJ ). La détermination de la durée d'un retrait d'admonestation étant une question d'appréciation, le Tribunal fédéral a pour habitude, en cas d'admission du recours, de renvoyer la cause à l'autorité cantonale pour qu'elle fixe la durée du retrait du permis en exerçant le pouvoir d'appréciation qui lui appartient. A teneur de l' art. 17 al. 1 let. a LCR , la durée du retrait est au minimum d'un mois. En l'espèce, l'office recourant a conclu à ce que le retrait soit ordonné pour une durée d'un mois. Or, le Tribunal fédéral ne saurait aller au-delà des conclusions des parties ( art. 114 al. 1 OJ ). Dès lors que la durée maximale qui peut être prononcée en application de l' art. 114 al. 1 OJ correspond à la durée minimale qui doit être infligée d'après l' art. 17 al. 1 let. a LCR , il ne reste plus à l'autorité aucune marge d'appréciation. Il se justifie donc de renoncer à un renvoi, qui constituerait un inutile détour procédural, et de prononcer immédiatement le retrait du permis de conduire de l'intimé pour une durée d'un mois.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